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8" w:rsidRPr="00C67768" w:rsidRDefault="00C67768" w:rsidP="00C67768">
      <w:pPr>
        <w:shd w:val="clear" w:color="auto" w:fill="FFFFFF"/>
        <w:spacing w:after="54" w:line="240" w:lineRule="auto"/>
        <w:jc w:val="center"/>
        <w:outlineLvl w:val="0"/>
        <w:rPr>
          <w:rFonts w:ascii="Cambria" w:eastAsia="Times New Roman" w:hAnsi="Cambria" w:cs="Times New Roman"/>
          <w:caps/>
          <w:kern w:val="36"/>
          <w:sz w:val="36"/>
          <w:lang w:eastAsia="en-GB"/>
        </w:rPr>
      </w:pPr>
      <w:r w:rsidRPr="00C67768">
        <w:rPr>
          <w:rFonts w:ascii="Cambria" w:eastAsia="Times New Roman" w:hAnsi="Cambria" w:cs="Times New Roman"/>
          <w:caps/>
          <w:kern w:val="36"/>
          <w:sz w:val="36"/>
          <w:lang w:eastAsia="en-GB"/>
        </w:rPr>
        <w:t>Отворен повик за есеи</w:t>
      </w:r>
    </w:p>
    <w:p w:rsidR="00C67768" w:rsidRPr="00C67768" w:rsidRDefault="00C67768" w:rsidP="00C67768">
      <w:pPr>
        <w:shd w:val="clear" w:color="auto" w:fill="FFFFFF"/>
        <w:spacing w:before="100" w:beforeAutospacing="1" w:after="360" w:line="240" w:lineRule="auto"/>
        <w:jc w:val="both"/>
        <w:rPr>
          <w:rFonts w:ascii="Cambria" w:eastAsia="Times New Roman" w:hAnsi="Cambria" w:cs="Times New Roman"/>
          <w:lang w:eastAsia="en-GB"/>
        </w:rPr>
      </w:pPr>
      <w:r w:rsidRPr="00C67768">
        <w:rPr>
          <w:rFonts w:ascii="Cambria" w:eastAsia="Times New Roman" w:hAnsi="Cambria" w:cs="Times New Roman"/>
          <w:lang w:eastAsia="en-GB"/>
        </w:rPr>
        <w:t>„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Член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1 –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Институт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глобални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политики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право</w:t>
      </w:r>
      <w:proofErr w:type="spellEnd"/>
      <w:proofErr w:type="gramStart"/>
      <w:r w:rsidRPr="00C67768">
        <w:rPr>
          <w:rFonts w:ascii="Cambria" w:eastAsia="Times New Roman" w:hAnsi="Cambria" w:cs="Times New Roman"/>
          <w:lang w:eastAsia="en-GB"/>
        </w:rPr>
        <w:t xml:space="preserve">“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како</w:t>
      </w:r>
      <w:proofErr w:type="spellEnd"/>
      <w:proofErr w:type="gram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истражувачка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организација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сака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придонесе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апелот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граѓаните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придржуваат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социјалното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дистанцирање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поминуваат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повеќе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време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дома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.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Оттаму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,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решивме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го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отвориме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овој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повик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есеи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,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желба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допринесеме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збогатување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дебатата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влијанието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COVID19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врз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соработката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актери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,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акцијата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#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СедиДома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#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ОстаниДома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. </w:t>
      </w:r>
    </w:p>
    <w:p w:rsidR="00C67768" w:rsidRPr="00C67768" w:rsidRDefault="00C67768" w:rsidP="00C67768">
      <w:pPr>
        <w:shd w:val="clear" w:color="auto" w:fill="FFFFFF"/>
        <w:spacing w:before="100" w:beforeAutospacing="1" w:after="360" w:line="240" w:lineRule="auto"/>
        <w:rPr>
          <w:rFonts w:ascii="Cambria" w:eastAsia="Times New Roman" w:hAnsi="Cambria" w:cs="Times New Roman"/>
          <w:lang w:eastAsia="en-GB"/>
        </w:rPr>
      </w:pP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Генерални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информации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>:</w:t>
      </w:r>
    </w:p>
    <w:p w:rsidR="00C67768" w:rsidRPr="00C67768" w:rsidRDefault="00C67768" w:rsidP="00C677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Есејот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треба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биде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напишан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македонски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јазик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биде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помеѓу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800 и 1400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зборови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.</w:t>
      </w:r>
    </w:p>
    <w:p w:rsidR="00C67768" w:rsidRPr="00C67768" w:rsidRDefault="00C67768" w:rsidP="00C677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Есејот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треба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биде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напишан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следејќи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ги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стандардите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</w:t>
      </w:r>
      <w:bookmarkStart w:id="0" w:name="_GoBack"/>
      <w:bookmarkEnd w:id="0"/>
      <w:r w:rsidRPr="00C67768">
        <w:rPr>
          <w:rFonts w:ascii="Cambria" w:eastAsia="Times New Roman" w:hAnsi="Cambria" w:cs="Times New Roman"/>
          <w:lang w:eastAsia="en-GB"/>
        </w:rPr>
        <w:t>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академско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пишување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.</w:t>
      </w:r>
    </w:p>
    <w:p w:rsidR="00C67768" w:rsidRPr="00C67768" w:rsidRDefault="00C67768" w:rsidP="00C677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Есејот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треба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биде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напишан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темата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: „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соработка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време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пандемија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“.</w:t>
      </w:r>
    </w:p>
    <w:p w:rsidR="00C67768" w:rsidRPr="00C67768" w:rsidRDefault="00C67768" w:rsidP="00C677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Учество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есејот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може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земат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истражувачи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од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полето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политиката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правото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,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интерес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политика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меѓународното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право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.</w:t>
      </w:r>
    </w:p>
    <w:p w:rsidR="00C67768" w:rsidRPr="00C67768" w:rsidRDefault="00C67768" w:rsidP="00C677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Есеите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треба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ги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доставите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email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адресата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: </w:t>
      </w:r>
      <w:hyperlink r:id="rId5" w:history="1">
        <w:r w:rsidRPr="00CF71D0">
          <w:rPr>
            <w:rFonts w:ascii="Cambria" w:eastAsia="Times New Roman" w:hAnsi="Cambria" w:cs="Times New Roman"/>
            <w:u w:val="single"/>
            <w:lang w:eastAsia="en-GB"/>
          </w:rPr>
          <w:t>article1institute@gmail.com</w:t>
        </w:r>
      </w:hyperlink>
      <w:r w:rsidRPr="00C67768">
        <w:rPr>
          <w:rFonts w:ascii="Cambria" w:eastAsia="Times New Roman" w:hAnsi="Cambria" w:cs="Times New Roman"/>
          <w:lang w:eastAsia="en-GB"/>
        </w:rPr>
        <w:t> 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15ти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мај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2020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година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.</w:t>
      </w:r>
    </w:p>
    <w:p w:rsidR="00C67768" w:rsidRPr="00C67768" w:rsidRDefault="00C67768" w:rsidP="00C6776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Есејот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треба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биде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придружуван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еден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параграф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вашата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куса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биографија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една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ваша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фотографија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која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ќе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биде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употребена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објавата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 </w:t>
      </w:r>
      <w:hyperlink r:id="rId6" w:history="1">
        <w:r w:rsidRPr="00CF71D0">
          <w:rPr>
            <w:rFonts w:ascii="Cambria" w:eastAsia="Times New Roman" w:hAnsi="Cambria" w:cs="Times New Roman"/>
            <w:u w:val="single"/>
            <w:lang w:eastAsia="en-GB"/>
          </w:rPr>
          <w:t>http://www.article1.mk</w:t>
        </w:r>
      </w:hyperlink>
    </w:p>
    <w:p w:rsidR="00C67768" w:rsidRPr="00C67768" w:rsidRDefault="00C67768" w:rsidP="00C67768">
      <w:pPr>
        <w:shd w:val="clear" w:color="auto" w:fill="FFFFFF"/>
        <w:spacing w:before="100" w:beforeAutospacing="1" w:after="360" w:line="240" w:lineRule="auto"/>
        <w:rPr>
          <w:rFonts w:ascii="Cambria" w:eastAsia="Times New Roman" w:hAnsi="Cambria" w:cs="Times New Roman"/>
          <w:lang w:eastAsia="en-GB"/>
        </w:rPr>
      </w:pP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Награда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:</w:t>
      </w:r>
    </w:p>
    <w:p w:rsidR="00C67768" w:rsidRPr="00C67768" w:rsidRDefault="00C67768" w:rsidP="00C67768">
      <w:pPr>
        <w:shd w:val="clear" w:color="auto" w:fill="FFFFFF"/>
        <w:spacing w:before="100" w:beforeAutospacing="1" w:after="360" w:line="240" w:lineRule="auto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Есејот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кој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ќе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биде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рангиран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како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најдобар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ќе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ја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добие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следната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награда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: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објава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текстот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вебсајтот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член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gramStart"/>
      <w:r w:rsidRPr="00C67768">
        <w:rPr>
          <w:rFonts w:ascii="Cambria" w:eastAsia="Times New Roman" w:hAnsi="Cambria" w:cs="Times New Roman"/>
          <w:lang w:eastAsia="en-GB"/>
        </w:rPr>
        <w:t>1</w:t>
      </w:r>
      <w:proofErr w:type="gram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три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месечна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дигитална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претплата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весникот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New Your Times.</w:t>
      </w:r>
    </w:p>
    <w:p w:rsidR="00C67768" w:rsidRPr="00C67768" w:rsidRDefault="00C67768" w:rsidP="00C67768">
      <w:pPr>
        <w:shd w:val="clear" w:color="auto" w:fill="FFFFFF"/>
        <w:spacing w:before="100" w:beforeAutospacing="1" w:after="360" w:line="240" w:lineRule="auto"/>
        <w:rPr>
          <w:rFonts w:ascii="Cambria" w:eastAsia="Times New Roman" w:hAnsi="Cambria" w:cs="Times New Roman"/>
          <w:lang w:eastAsia="en-GB"/>
        </w:rPr>
      </w:pP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Повеќе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информации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за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темата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>:</w:t>
      </w:r>
    </w:p>
    <w:p w:rsidR="00C67768" w:rsidRPr="00C67768" w:rsidRDefault="00C67768" w:rsidP="00C67768">
      <w:pPr>
        <w:shd w:val="clear" w:color="auto" w:fill="FFFFFF"/>
        <w:spacing w:before="100" w:beforeAutospacing="1" w:after="360" w:line="240" w:lineRule="auto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Генералната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тема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овој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отворен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повик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есеи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е „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соработка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време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proofErr w:type="gramStart"/>
      <w:r w:rsidRPr="00C67768">
        <w:rPr>
          <w:rFonts w:ascii="Cambria" w:eastAsia="Times New Roman" w:hAnsi="Cambria" w:cs="Times New Roman"/>
          <w:lang w:eastAsia="en-GB"/>
        </w:rPr>
        <w:t xml:space="preserve"> 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пандемија</w:t>
      </w:r>
      <w:proofErr w:type="spellEnd"/>
      <w:proofErr w:type="gramEnd"/>
      <w:r w:rsidRPr="00C67768">
        <w:rPr>
          <w:rFonts w:ascii="Cambria" w:eastAsia="Times New Roman" w:hAnsi="Cambria" w:cs="Times New Roman"/>
          <w:lang w:eastAsia="en-GB"/>
        </w:rPr>
        <w:t xml:space="preserve">“.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Оваа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тема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е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мошне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широка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,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затоа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препорачуваме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истражувачите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најдат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подтема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која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ќе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фокусираат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своите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есеи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.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Како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пример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,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сакале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понудиме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неколку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поспецифични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подтеми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може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фокусирате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:</w:t>
      </w:r>
    </w:p>
    <w:p w:rsidR="00C67768" w:rsidRPr="00C67768" w:rsidRDefault="00C67768" w:rsidP="00C6776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соработка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рамките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организации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; </w:t>
      </w:r>
    </w:p>
    <w:p w:rsidR="00C67768" w:rsidRPr="00C67768" w:rsidRDefault="00C67768" w:rsidP="00C6776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Билатерална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и/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или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мултилатерална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меѓудржавна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соработка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;</w:t>
      </w:r>
    </w:p>
    <w:p w:rsidR="00C67768" w:rsidRPr="00C67768" w:rsidRDefault="00C67768" w:rsidP="00C6776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соработка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недржавни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актери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време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коронавирус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пандемијата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;</w:t>
      </w:r>
    </w:p>
    <w:p w:rsidR="00C67768" w:rsidRPr="00C67768" w:rsidRDefault="00C67768" w:rsidP="00C6776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Други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режими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соработка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;</w:t>
      </w:r>
    </w:p>
    <w:p w:rsidR="00C67768" w:rsidRPr="00CF71D0" w:rsidRDefault="00C67768" w:rsidP="00C6776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Меѓународната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соработка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областа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здравство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/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образование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наука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/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социо-економско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заздравување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општествата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/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трговија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/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безбедност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време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коронавирус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пандемијата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.</w:t>
      </w:r>
    </w:p>
    <w:p w:rsidR="00C67768" w:rsidRPr="00CF71D0" w:rsidRDefault="00C67768" w:rsidP="00C67768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lang w:eastAsia="en-GB"/>
        </w:rPr>
      </w:pPr>
    </w:p>
    <w:p w:rsidR="00C67768" w:rsidRPr="00CF71D0" w:rsidRDefault="00C67768" w:rsidP="00C67768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lang w:eastAsia="en-GB"/>
        </w:rPr>
      </w:pPr>
    </w:p>
    <w:p w:rsidR="00C67768" w:rsidRPr="00CF71D0" w:rsidRDefault="00C67768" w:rsidP="00C67768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lang w:eastAsia="en-GB"/>
        </w:rPr>
      </w:pPr>
    </w:p>
    <w:p w:rsidR="00C67768" w:rsidRPr="00C67768" w:rsidRDefault="00C67768" w:rsidP="00C67768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lang w:eastAsia="en-GB"/>
        </w:rPr>
      </w:pPr>
    </w:p>
    <w:p w:rsidR="00C67768" w:rsidRPr="00C67768" w:rsidRDefault="00C67768" w:rsidP="00C67768">
      <w:pPr>
        <w:shd w:val="clear" w:color="auto" w:fill="FFFFFF"/>
        <w:spacing w:before="100" w:beforeAutospacing="1" w:after="360" w:line="240" w:lineRule="auto"/>
        <w:rPr>
          <w:rFonts w:ascii="Cambria" w:eastAsia="Times New Roman" w:hAnsi="Cambria" w:cs="Times New Roman"/>
          <w:lang w:eastAsia="en-GB"/>
        </w:rPr>
      </w:pP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lastRenderedPageBreak/>
        <w:t>Повеќе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информации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за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изборот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на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најдобар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есеј</w:t>
      </w:r>
      <w:proofErr w:type="spellEnd"/>
      <w:r w:rsidRPr="00CF71D0">
        <w:rPr>
          <w:rFonts w:ascii="Cambria" w:eastAsia="Times New Roman" w:hAnsi="Cambria" w:cs="Times New Roman"/>
          <w:b/>
          <w:bCs/>
          <w:lang w:eastAsia="en-GB"/>
        </w:rPr>
        <w:t>:</w:t>
      </w:r>
    </w:p>
    <w:p w:rsidR="00C67768" w:rsidRPr="00C67768" w:rsidRDefault="00C67768" w:rsidP="00C67768">
      <w:pPr>
        <w:shd w:val="clear" w:color="auto" w:fill="FFFFFF"/>
        <w:spacing w:before="100" w:beforeAutospacing="1" w:after="360" w:line="240" w:lineRule="auto"/>
        <w:rPr>
          <w:rFonts w:ascii="Cambria" w:eastAsia="Times New Roman" w:hAnsi="Cambria" w:cs="Times New Roman"/>
          <w:lang w:eastAsia="en-GB"/>
        </w:rPr>
      </w:pPr>
      <w:proofErr w:type="spellStart"/>
      <w:r w:rsidRPr="00C67768">
        <w:rPr>
          <w:rFonts w:ascii="Cambria" w:eastAsia="Times New Roman" w:hAnsi="Cambria" w:cs="Times New Roman"/>
          <w:lang w:eastAsia="en-GB"/>
        </w:rPr>
        <w:t>Претседателството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организацијата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„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Член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1</w:t>
      </w:r>
      <w:proofErr w:type="gramStart"/>
      <w:r w:rsidRPr="00C67768">
        <w:rPr>
          <w:rFonts w:ascii="Cambria" w:eastAsia="Times New Roman" w:hAnsi="Cambria" w:cs="Times New Roman"/>
          <w:lang w:eastAsia="en-GB"/>
        </w:rPr>
        <w:t xml:space="preserve">“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ќе</w:t>
      </w:r>
      <w:proofErr w:type="spellEnd"/>
      <w:proofErr w:type="gram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ги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разгледа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сите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есеи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и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според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овие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 </w:t>
      </w:r>
      <w:proofErr w:type="spellStart"/>
      <w:r w:rsidRPr="00CF71D0">
        <w:rPr>
          <w:rFonts w:ascii="Cambria" w:eastAsia="Times New Roman" w:hAnsi="Cambria" w:cs="Times New Roman"/>
          <w:b/>
          <w:bCs/>
          <w:lang w:eastAsia="en-GB"/>
        </w:rPr>
        <w:t>критериуми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 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ќе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го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одбере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најдобро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рангираниот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 xml:space="preserve"> </w:t>
      </w:r>
      <w:proofErr w:type="spellStart"/>
      <w:r w:rsidRPr="00C67768">
        <w:rPr>
          <w:rFonts w:ascii="Cambria" w:eastAsia="Times New Roman" w:hAnsi="Cambria" w:cs="Times New Roman"/>
          <w:lang w:eastAsia="en-GB"/>
        </w:rPr>
        <w:t>есеј</w:t>
      </w:r>
      <w:proofErr w:type="spellEnd"/>
      <w:r w:rsidRPr="00C67768">
        <w:rPr>
          <w:rFonts w:ascii="Cambria" w:eastAsia="Times New Roman" w:hAnsi="Cambria" w:cs="Times New Roman"/>
          <w:lang w:eastAsia="en-GB"/>
        </w:rPr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8232"/>
      </w:tblGrid>
      <w:tr w:rsidR="00CF71D0" w:rsidRPr="00C67768" w:rsidTr="00C67768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7768" w:rsidRPr="00C67768" w:rsidRDefault="00C67768" w:rsidP="00C67768">
            <w:pPr>
              <w:spacing w:after="360" w:line="240" w:lineRule="auto"/>
              <w:rPr>
                <w:rFonts w:ascii="Cambria" w:eastAsia="Times New Roman" w:hAnsi="Cambria" w:cs="Times New Roman"/>
                <w:lang w:eastAsia="en-GB"/>
              </w:rPr>
            </w:pPr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1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3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поени</w:t>
            </w:r>
            <w:proofErr w:type="spellEnd"/>
          </w:p>
        </w:tc>
        <w:tc>
          <w:tcPr>
            <w:tcW w:w="8232" w:type="dxa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7768" w:rsidRPr="00C67768" w:rsidRDefault="00C67768" w:rsidP="00C67768">
            <w:pPr>
              <w:spacing w:after="360" w:line="240" w:lineRule="auto"/>
              <w:rPr>
                <w:rFonts w:ascii="Cambria" w:eastAsia="Times New Roman" w:hAnsi="Cambria" w:cs="Times New Roman"/>
                <w:lang w:eastAsia="en-GB"/>
              </w:rPr>
            </w:pP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покажува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основно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познавање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и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анализа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темата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 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нуди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основна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аргументација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, и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недоволно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добро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развиени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примери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во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поддршка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темата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има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некаква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структура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нема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јасно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дефинирана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подтема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која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се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фокусира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 </w:t>
            </w:r>
          </w:p>
        </w:tc>
      </w:tr>
      <w:tr w:rsidR="00CF71D0" w:rsidRPr="00C67768" w:rsidTr="00C67768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7768" w:rsidRPr="00C67768" w:rsidRDefault="00C67768" w:rsidP="00C67768">
            <w:pPr>
              <w:spacing w:after="360" w:line="240" w:lineRule="auto"/>
              <w:rPr>
                <w:rFonts w:ascii="Cambria" w:eastAsia="Times New Roman" w:hAnsi="Cambria" w:cs="Times New Roman"/>
                <w:lang w:eastAsia="en-GB"/>
              </w:rPr>
            </w:pP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  <w:t xml:space="preserve">4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6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поени</w:t>
            </w:r>
            <w:proofErr w:type="spellEnd"/>
          </w:p>
        </w:tc>
        <w:tc>
          <w:tcPr>
            <w:tcW w:w="8232" w:type="dxa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7768" w:rsidRPr="00C67768" w:rsidRDefault="00C67768" w:rsidP="00C67768">
            <w:pPr>
              <w:spacing w:after="360" w:line="240" w:lineRule="auto"/>
              <w:rPr>
                <w:rFonts w:ascii="Cambria" w:eastAsia="Times New Roman" w:hAnsi="Cambria" w:cs="Times New Roman"/>
                <w:lang w:eastAsia="en-GB"/>
              </w:rPr>
            </w:pP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покажува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добро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познавање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и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анализа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темата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 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нуди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аргументација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и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примери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во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поддршка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темата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нуди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добра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структура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се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фокусира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една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подтема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,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не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дискутира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за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подтемата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во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големи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детали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</w:t>
            </w:r>
          </w:p>
        </w:tc>
      </w:tr>
      <w:tr w:rsidR="00CF71D0" w:rsidRPr="00C67768" w:rsidTr="00C67768">
        <w:tc>
          <w:tcPr>
            <w:tcW w:w="0" w:type="auto"/>
            <w:vAlign w:val="center"/>
            <w:hideMark/>
          </w:tcPr>
          <w:p w:rsidR="00C67768" w:rsidRPr="00C67768" w:rsidRDefault="00C67768" w:rsidP="00C67768">
            <w:pPr>
              <w:spacing w:after="360" w:line="240" w:lineRule="auto"/>
              <w:rPr>
                <w:rFonts w:ascii="Cambria" w:eastAsia="Times New Roman" w:hAnsi="Cambria" w:cs="Times New Roman"/>
                <w:lang w:eastAsia="en-GB"/>
              </w:rPr>
            </w:pPr>
          </w:p>
        </w:tc>
        <w:tc>
          <w:tcPr>
            <w:tcW w:w="8232" w:type="dxa"/>
            <w:vAlign w:val="center"/>
            <w:hideMark/>
          </w:tcPr>
          <w:p w:rsidR="00C67768" w:rsidRPr="00C67768" w:rsidRDefault="00C67768" w:rsidP="00C67768">
            <w:pPr>
              <w:spacing w:after="360" w:line="240" w:lineRule="auto"/>
              <w:rPr>
                <w:rFonts w:ascii="Cambria" w:eastAsia="Times New Roman" w:hAnsi="Cambria" w:cs="Times New Roman"/>
                <w:lang w:eastAsia="en-GB"/>
              </w:rPr>
            </w:pPr>
          </w:p>
        </w:tc>
      </w:tr>
      <w:tr w:rsidR="00CF71D0" w:rsidRPr="00C67768" w:rsidTr="00C67768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7768" w:rsidRPr="00C67768" w:rsidRDefault="00C67768" w:rsidP="00C67768">
            <w:pPr>
              <w:spacing w:after="360" w:line="240" w:lineRule="auto"/>
              <w:rPr>
                <w:rFonts w:ascii="Cambria" w:eastAsia="Times New Roman" w:hAnsi="Cambria" w:cs="Times New Roman"/>
                <w:lang w:eastAsia="en-GB"/>
              </w:rPr>
            </w:pP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  <w:t xml:space="preserve">7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10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поени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 </w:t>
            </w:r>
          </w:p>
        </w:tc>
        <w:tc>
          <w:tcPr>
            <w:tcW w:w="8232" w:type="dxa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7768" w:rsidRPr="00C67768" w:rsidRDefault="00C67768" w:rsidP="00C67768">
            <w:pPr>
              <w:spacing w:after="360" w:line="240" w:lineRule="auto"/>
              <w:rPr>
                <w:rFonts w:ascii="Cambria" w:eastAsia="Times New Roman" w:hAnsi="Cambria" w:cs="Times New Roman"/>
                <w:lang w:eastAsia="en-GB"/>
              </w:rPr>
            </w:pP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покажува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одлично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познавање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и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темелна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анализа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темата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 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нуди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јасна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и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фокусирана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анализа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која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интегрира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соодветни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примери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во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поддршка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темата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препознава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различни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перспективи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понудените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аргументи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нуди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одлична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структура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и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формат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</w:t>
            </w:r>
            <w:r w:rsidRPr="00C67768">
              <w:rPr>
                <w:rFonts w:ascii="Cambria" w:eastAsia="Times New Roman" w:hAnsi="Cambria" w:cs="Times New Roman"/>
                <w:lang w:eastAsia="en-GB"/>
              </w:rPr>
              <w:br/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Есејот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во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големи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детали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разработува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подтема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од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интерес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на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овој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C67768">
              <w:rPr>
                <w:rFonts w:ascii="Cambria" w:eastAsia="Times New Roman" w:hAnsi="Cambria" w:cs="Times New Roman"/>
                <w:lang w:eastAsia="en-GB"/>
              </w:rPr>
              <w:t>повик</w:t>
            </w:r>
            <w:proofErr w:type="spellEnd"/>
            <w:r w:rsidRPr="00C67768">
              <w:rPr>
                <w:rFonts w:ascii="Cambria" w:eastAsia="Times New Roman" w:hAnsi="Cambria" w:cs="Times New Roman"/>
                <w:lang w:eastAsia="en-GB"/>
              </w:rPr>
              <w:t>. </w:t>
            </w:r>
          </w:p>
        </w:tc>
      </w:tr>
    </w:tbl>
    <w:p w:rsidR="00741B09" w:rsidRPr="00CF71D0" w:rsidRDefault="00741B09">
      <w:pPr>
        <w:rPr>
          <w:rFonts w:ascii="Cambria" w:hAnsi="Cambria"/>
        </w:rPr>
      </w:pPr>
    </w:p>
    <w:p w:rsidR="00C67768" w:rsidRPr="00CF71D0" w:rsidRDefault="00C67768" w:rsidP="00C67768">
      <w:pPr>
        <w:spacing w:after="0"/>
        <w:jc w:val="both"/>
        <w:rPr>
          <w:rFonts w:ascii="Cambria" w:hAnsi="Cambria"/>
          <w:i/>
          <w:lang w:val="mk-MK"/>
        </w:rPr>
      </w:pPr>
      <w:r w:rsidRPr="00CF71D0">
        <w:rPr>
          <w:rFonts w:ascii="Cambria" w:hAnsi="Cambria"/>
          <w:i/>
          <w:lang w:val="mk-MK"/>
        </w:rPr>
        <w:t>Член 1 – Институт за глобални политики и право е граѓанска организација е основана на 30 Мај 2017 година. Организација работи на полето на меѓународното право и меѓународните односи. Повеќе информации за нас можете да најдете на:</w:t>
      </w:r>
    </w:p>
    <w:p w:rsidR="00C67768" w:rsidRPr="00CF71D0" w:rsidRDefault="00C67768" w:rsidP="00C67768">
      <w:pPr>
        <w:spacing w:after="0"/>
        <w:jc w:val="both"/>
      </w:pPr>
    </w:p>
    <w:p w:rsidR="00C67768" w:rsidRPr="00CF71D0" w:rsidRDefault="00C67768" w:rsidP="00C67768">
      <w:pPr>
        <w:spacing w:after="0"/>
        <w:ind w:left="3600"/>
        <w:rPr>
          <w:rFonts w:cstheme="minorHAnsi"/>
          <w:lang w:val="en-US"/>
        </w:rPr>
      </w:pPr>
      <w:r w:rsidRPr="00CF71D0">
        <w:rPr>
          <w:rFonts w:cstheme="minorHAnsi"/>
          <w:lang w:val="en-US"/>
        </w:rPr>
        <w:t xml:space="preserve">    article1.mk</w:t>
      </w:r>
    </w:p>
    <w:p w:rsidR="00C67768" w:rsidRPr="00CF71D0" w:rsidRDefault="00C67768" w:rsidP="00C67768">
      <w:pPr>
        <w:pStyle w:val="ListParagraph"/>
        <w:spacing w:after="0"/>
        <w:ind w:left="1843"/>
        <w:rPr>
          <w:rFonts w:cstheme="minorHAnsi"/>
          <w:lang w:val="en-US"/>
        </w:rPr>
      </w:pPr>
      <w:r w:rsidRPr="00CF71D0">
        <w:rPr>
          <w:rFonts w:cstheme="minorHAnsi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F5474A7" wp14:editId="660C26E6">
            <wp:simplePos x="0" y="0"/>
            <wp:positionH relativeFrom="column">
              <wp:posOffset>2047875</wp:posOffset>
            </wp:positionH>
            <wp:positionV relativeFrom="paragraph">
              <wp:posOffset>43815</wp:posOffset>
            </wp:positionV>
            <wp:extent cx="133350" cy="133350"/>
            <wp:effectExtent l="0" t="0" r="0" b="0"/>
            <wp:wrapSquare wrapText="bothSides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1D0">
        <w:rPr>
          <w:rFonts w:cstheme="minorHAnsi"/>
          <w:lang w:val="en-US"/>
        </w:rPr>
        <w:t xml:space="preserve">Article1Institute </w:t>
      </w:r>
    </w:p>
    <w:p w:rsidR="00C67768" w:rsidRPr="00CF71D0" w:rsidRDefault="00C67768" w:rsidP="00C67768">
      <w:pPr>
        <w:spacing w:after="0"/>
        <w:ind w:left="2880"/>
        <w:rPr>
          <w:rFonts w:cstheme="minorHAnsi"/>
          <w:lang w:val="en-US"/>
        </w:rPr>
      </w:pPr>
      <w:r w:rsidRPr="00CF71D0">
        <w:rPr>
          <w:rFonts w:cstheme="minorHAnsi"/>
          <w:lang w:val="en-US"/>
        </w:rPr>
        <w:t xml:space="preserve">          </w:t>
      </w:r>
      <w:r w:rsidRPr="00CF71D0">
        <w:rPr>
          <w:rFonts w:cstheme="minorHAnsi"/>
          <w:noProof/>
          <w:lang w:eastAsia="en-GB"/>
        </w:rPr>
        <w:drawing>
          <wp:inline distT="0" distB="0" distL="0" distR="0">
            <wp:extent cx="209550" cy="209550"/>
            <wp:effectExtent l="0" t="0" r="0" b="0"/>
            <wp:docPr id="4" name="Picture 4" descr="C:\Users\marij\AppData\Local\Microsoft\Windows\INetCache\Content.Word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j\AppData\Local\Microsoft\Windows\INetCache\Content.Word\twit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1D0">
        <w:rPr>
          <w:rFonts w:cstheme="minorHAnsi"/>
          <w:lang w:val="en-US"/>
        </w:rPr>
        <w:t>@Art1Institute</w:t>
      </w:r>
      <w:r w:rsidRPr="00CF71D0">
        <w:rPr>
          <w:rFonts w:cstheme="minorHAnsi"/>
          <w:lang w:val="en-US"/>
        </w:rPr>
        <w:t xml:space="preserve"> </w:t>
      </w:r>
    </w:p>
    <w:p w:rsidR="00C67768" w:rsidRPr="00CF71D0" w:rsidRDefault="00C67768" w:rsidP="00C67768">
      <w:pPr>
        <w:spacing w:after="0"/>
        <w:jc w:val="center"/>
        <w:rPr>
          <w:rFonts w:cstheme="minorHAnsi"/>
          <w:lang w:val="en-US"/>
        </w:rPr>
      </w:pPr>
      <w:r w:rsidRPr="00CF71D0">
        <w:rPr>
          <w:rFonts w:cstheme="minorHAnsi"/>
          <w:lang w:val="en-US"/>
        </w:rPr>
        <w:t>@</w:t>
      </w:r>
      <w:r w:rsidRPr="00CF71D0">
        <w:rPr>
          <w:rFonts w:cstheme="minorHAnsi"/>
          <w:lang w:val="en-US"/>
        </w:rPr>
        <w:t xml:space="preserve"> article1institute@gmail.com </w:t>
      </w:r>
    </w:p>
    <w:p w:rsidR="00C67768" w:rsidRPr="00CF71D0" w:rsidRDefault="00C67768" w:rsidP="00C67768">
      <w:pPr>
        <w:spacing w:after="0"/>
        <w:jc w:val="both"/>
        <w:rPr>
          <w:rFonts w:cstheme="minorHAnsi"/>
          <w:lang w:val="en-US"/>
        </w:rPr>
      </w:pPr>
    </w:p>
    <w:sectPr w:rsidR="00C67768" w:rsidRPr="00CF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0pt;height:30pt;visibility:visible;mso-wrap-style:square" o:bullet="t">
        <v:imagedata r:id="rId1" o:title=""/>
      </v:shape>
    </w:pict>
  </w:numPicBullet>
  <w:abstractNum w:abstractNumId="0" w15:restartNumberingAfterBreak="0">
    <w:nsid w:val="00880433"/>
    <w:multiLevelType w:val="hybridMultilevel"/>
    <w:tmpl w:val="92D2150E"/>
    <w:lvl w:ilvl="0" w:tplc="F8A6B690">
      <w:start w:val="1"/>
      <w:numFmt w:val="bullet"/>
      <w:lvlText w:val=""/>
      <w:lvlPicBulletId w:val="0"/>
      <w:lvlJc w:val="left"/>
      <w:pPr>
        <w:tabs>
          <w:tab w:val="num" w:pos="2305"/>
        </w:tabs>
        <w:ind w:left="2305" w:hanging="360"/>
      </w:pPr>
      <w:rPr>
        <w:rFonts w:ascii="Symbol" w:hAnsi="Symbol" w:hint="default"/>
      </w:rPr>
    </w:lvl>
    <w:lvl w:ilvl="1" w:tplc="5580801E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2" w:tplc="7FB6CD6A" w:tentative="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3" w:tplc="FB800A2A" w:tentative="1">
      <w:start w:val="1"/>
      <w:numFmt w:val="bullet"/>
      <w:lvlText w:val=""/>
      <w:lvlJc w:val="left"/>
      <w:pPr>
        <w:tabs>
          <w:tab w:val="num" w:pos="4465"/>
        </w:tabs>
        <w:ind w:left="4465" w:hanging="360"/>
      </w:pPr>
      <w:rPr>
        <w:rFonts w:ascii="Symbol" w:hAnsi="Symbol" w:hint="default"/>
      </w:rPr>
    </w:lvl>
    <w:lvl w:ilvl="4" w:tplc="27985D12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5" w:tplc="F97E0F60" w:tentative="1">
      <w:start w:val="1"/>
      <w:numFmt w:val="bullet"/>
      <w:lvlText w:val=""/>
      <w:lvlJc w:val="left"/>
      <w:pPr>
        <w:tabs>
          <w:tab w:val="num" w:pos="5905"/>
        </w:tabs>
        <w:ind w:left="5905" w:hanging="360"/>
      </w:pPr>
      <w:rPr>
        <w:rFonts w:ascii="Symbol" w:hAnsi="Symbol" w:hint="default"/>
      </w:rPr>
    </w:lvl>
    <w:lvl w:ilvl="6" w:tplc="2E5E10B4" w:tentative="1">
      <w:start w:val="1"/>
      <w:numFmt w:val="bullet"/>
      <w:lvlText w:val=""/>
      <w:lvlJc w:val="left"/>
      <w:pPr>
        <w:tabs>
          <w:tab w:val="num" w:pos="6625"/>
        </w:tabs>
        <w:ind w:left="6625" w:hanging="360"/>
      </w:pPr>
      <w:rPr>
        <w:rFonts w:ascii="Symbol" w:hAnsi="Symbol" w:hint="default"/>
      </w:rPr>
    </w:lvl>
    <w:lvl w:ilvl="7" w:tplc="48DA55B8" w:tentative="1">
      <w:start w:val="1"/>
      <w:numFmt w:val="bullet"/>
      <w:lvlText w:val=""/>
      <w:lvlJc w:val="left"/>
      <w:pPr>
        <w:tabs>
          <w:tab w:val="num" w:pos="7345"/>
        </w:tabs>
        <w:ind w:left="7345" w:hanging="360"/>
      </w:pPr>
      <w:rPr>
        <w:rFonts w:ascii="Symbol" w:hAnsi="Symbol" w:hint="default"/>
      </w:rPr>
    </w:lvl>
    <w:lvl w:ilvl="8" w:tplc="FA505166" w:tentative="1">
      <w:start w:val="1"/>
      <w:numFmt w:val="bullet"/>
      <w:lvlText w:val=""/>
      <w:lvlJc w:val="left"/>
      <w:pPr>
        <w:tabs>
          <w:tab w:val="num" w:pos="8065"/>
        </w:tabs>
        <w:ind w:left="8065" w:hanging="360"/>
      </w:pPr>
      <w:rPr>
        <w:rFonts w:ascii="Symbol" w:hAnsi="Symbol" w:hint="default"/>
      </w:rPr>
    </w:lvl>
  </w:abstractNum>
  <w:abstractNum w:abstractNumId="1" w15:restartNumberingAfterBreak="0">
    <w:nsid w:val="102E68C2"/>
    <w:multiLevelType w:val="multilevel"/>
    <w:tmpl w:val="63FA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03AF2"/>
    <w:multiLevelType w:val="multilevel"/>
    <w:tmpl w:val="200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A1"/>
    <w:rsid w:val="00741B09"/>
    <w:rsid w:val="009E71A1"/>
    <w:rsid w:val="00C67768"/>
    <w:rsid w:val="00C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9C03"/>
  <w15:chartTrackingRefBased/>
  <w15:docId w15:val="{B2BE5D59-165F-43A5-9098-F3B82E4B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67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7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77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77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7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cle1.mk/" TargetMode="External"/><Relationship Id="rId5" Type="http://schemas.openxmlformats.org/officeDocument/2006/relationships/hyperlink" Target="mailto:article1institut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Mircevska</dc:creator>
  <cp:keywords/>
  <dc:description/>
  <cp:lastModifiedBy>Marija Mircevska</cp:lastModifiedBy>
  <cp:revision>3</cp:revision>
  <dcterms:created xsi:type="dcterms:W3CDTF">2020-05-05T16:11:00Z</dcterms:created>
  <dcterms:modified xsi:type="dcterms:W3CDTF">2020-05-05T16:24:00Z</dcterms:modified>
</cp:coreProperties>
</file>